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34"/>
          <w:szCs w:val="34"/>
          <w:lang w:eastAsia="zh-CN"/>
        </w:rPr>
      </w:pPr>
      <w:r>
        <w:rPr>
          <w:rFonts w:ascii="Times New Roman" w:hAnsi="黑体" w:eastAsia="黑体" w:cs="Times New Roman"/>
          <w:kern w:val="0"/>
          <w:sz w:val="34"/>
          <w:szCs w:val="34"/>
        </w:rPr>
        <w:t>附件</w:t>
      </w:r>
      <w:r>
        <w:rPr>
          <w:rFonts w:hint="eastAsia" w:ascii="Times New Roman" w:hAnsi="Times New Roman" w:eastAsia="黑体" w:cs="Times New Roman"/>
          <w:kern w:val="0"/>
          <w:sz w:val="34"/>
          <w:szCs w:val="34"/>
          <w:lang w:val="en-US" w:eastAsia="zh-CN"/>
        </w:rPr>
        <w:t>2</w:t>
      </w:r>
    </w:p>
    <w:p>
      <w:pPr>
        <w:overflowPunct w:val="0"/>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广东省2022年度选调优秀大学毕业生</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w:t>
      </w:r>
      <w:bookmarkStart w:id="0" w:name="_GoBack"/>
      <w:bookmarkEnd w:id="0"/>
      <w:r>
        <w:rPr>
          <w:rFonts w:hint="eastAsia" w:ascii="Times New Roman" w:hAnsi="Times New Roman" w:eastAsia="仿宋_GB2312" w:cs="Times New Roman"/>
          <w:kern w:val="0"/>
          <w:sz w:val="34"/>
          <w:szCs w:val="34"/>
        </w:rPr>
        <w:t>、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第二军医大学、第四军医大学、中国科学院大学、中国社会科学院大学、中央党校。</w:t>
      </w:r>
    </w:p>
    <w:p>
      <w:pPr>
        <w:overflowPunct w:val="0"/>
        <w:spacing w:line="640" w:lineRule="exact"/>
        <w:ind w:firstLine="680" w:firstLineChars="200"/>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华南农业大学、南方医科大学、广东工业大学、广东外语外贸大学、广州大学、广州医科大学、深圳大学、南方科技大学、汕头大学、广东医科大学、广东海洋大学、佛山科学技术学院、东莞理工学院、香港中文大学（深圳）、</w:t>
      </w:r>
      <w:r>
        <w:rPr>
          <w:rFonts w:ascii="Times New Roman" w:hAnsi="Times New Roman" w:eastAsia="仿宋_GB2312" w:cs="Times New Roman"/>
          <w:sz w:val="34"/>
          <w:szCs w:val="34"/>
        </w:rPr>
        <w:t>中共广东省委党校、广东省社会科学院。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FF64A1D"/>
    <w:rsid w:val="28C405DB"/>
    <w:rsid w:val="2957524A"/>
    <w:rsid w:val="2C9171F9"/>
    <w:rsid w:val="30DA3B60"/>
    <w:rsid w:val="3DA82D5D"/>
    <w:rsid w:val="433F2512"/>
    <w:rsid w:val="4E680A5C"/>
    <w:rsid w:val="5B686121"/>
    <w:rsid w:val="5C3B0639"/>
    <w:rsid w:val="63706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75</TotalTime>
  <ScaleCrop>false</ScaleCrop>
  <LinksUpToDate>false</LinksUpToDate>
  <CharactersWithSpaces>3157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2020-11-19T11:21:00Z</dcterms:created>
  <dc:creator>hp</dc:creator>
  <cp:lastModifiedBy>汪衍礼</cp:lastModifiedBy>
  <cp:lastPrinted>2021-10-08T00:55:00Z</cp:lastPrinted>
  <dcterms:modified xsi:type="dcterms:W3CDTF">2021-11-08T01:47:25Z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